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bidi="bo-CN"/>
        </w:rPr>
        <w:drawing>
          <wp:inline distT="0" distB="0" distL="0" distR="0">
            <wp:extent cx="5828665" cy="802640"/>
            <wp:effectExtent l="0" t="0" r="635" b="0"/>
            <wp:docPr id="1" name="图片 1" descr="C:\Users\Administrator\Desktop\945x130-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945x130-c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903" cy="8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60" w:after="60" w:line="360" w:lineRule="auto"/>
        <w:jc w:val="center"/>
        <w:rPr>
          <w:rFonts w:ascii="DFKai-SB" w:hAnsi="DFKai-SB" w:eastAsia="宋体" w:cs="宋体"/>
          <w:b/>
          <w:bCs/>
          <w:color w:val="00B050"/>
          <w:kern w:val="0"/>
          <w:sz w:val="32"/>
          <w:szCs w:val="32"/>
        </w:rPr>
      </w:pPr>
      <w:r>
        <w:rPr>
          <w:rFonts w:ascii="DFKai-SB" w:hAnsi="DFKai-SB" w:eastAsia="宋体" w:cs="宋体"/>
          <w:b/>
          <w:bCs/>
          <w:color w:val="00B050"/>
          <w:kern w:val="0"/>
          <w:sz w:val="32"/>
          <w:szCs w:val="32"/>
        </w:rPr>
        <w:t>2017</w:t>
      </w:r>
      <w:r>
        <w:rPr>
          <w:rFonts w:hint="eastAsia" w:ascii="DFKai-SB" w:hAnsi="DFKai-SB" w:eastAsia="宋体" w:cs="宋体"/>
          <w:b/>
          <w:bCs/>
          <w:color w:val="00B050"/>
          <w:kern w:val="0"/>
          <w:sz w:val="32"/>
          <w:szCs w:val="32"/>
        </w:rPr>
        <w:t>年台湾国际绿色产业展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B050"/>
          <w:kern w:val="0"/>
          <w:sz w:val="32"/>
          <w:szCs w:val="32"/>
        </w:rPr>
      </w:pPr>
      <w:r>
        <w:rPr>
          <w:rFonts w:ascii="DFKai-SB" w:hAnsi="DFKai-SB" w:eastAsia="宋体" w:cs="宋体"/>
          <w:b/>
          <w:bCs/>
          <w:color w:val="00B050"/>
          <w:kern w:val="0"/>
          <w:sz w:val="32"/>
          <w:szCs w:val="32"/>
        </w:rPr>
        <w:t xml:space="preserve">           ---</w:t>
      </w:r>
      <w:r>
        <w:rPr>
          <w:rFonts w:hint="eastAsia" w:ascii="DFKai-SB" w:hAnsi="DFKai-SB" w:eastAsia="宋体" w:cs="宋体"/>
          <w:b/>
          <w:bCs/>
          <w:color w:val="00B050"/>
          <w:kern w:val="0"/>
          <w:sz w:val="32"/>
          <w:szCs w:val="32"/>
        </w:rPr>
        <w:t>能源、环保、水科技、绿色都市、绿色消费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984807" w:themeColor="accent6" w:themeShade="8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984807" w:themeColor="accent6" w:themeShade="80"/>
          <w:kern w:val="0"/>
          <w:szCs w:val="21"/>
        </w:rPr>
        <w:t>主办单位：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台湾贸易中心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展盟展览有限公司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984807" w:themeColor="accent6" w:themeShade="8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984807" w:themeColor="accent6" w:themeShade="80"/>
          <w:kern w:val="0"/>
          <w:szCs w:val="21"/>
        </w:rPr>
        <w:t>展出日期及时间：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ascii="DFKai-SB" w:hAnsi="DFKai-SB" w:eastAsia="宋体" w:cs="宋体"/>
          <w:color w:val="000000"/>
          <w:kern w:val="0"/>
          <w:szCs w:val="21"/>
        </w:rPr>
        <w:t>2017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年</w:t>
      </w:r>
      <w:r>
        <w:rPr>
          <w:rFonts w:ascii="DFKai-SB" w:hAnsi="DFKai-SB" w:eastAsia="宋体" w:cs="宋体"/>
          <w:color w:val="000000"/>
          <w:kern w:val="0"/>
          <w:szCs w:val="21"/>
        </w:rPr>
        <w:t>10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月</w:t>
      </w:r>
      <w:r>
        <w:rPr>
          <w:rFonts w:ascii="DFKai-SB" w:hAnsi="DFKai-SB" w:eastAsia="宋体" w:cs="宋体"/>
          <w:color w:val="000000"/>
          <w:kern w:val="0"/>
          <w:szCs w:val="21"/>
        </w:rPr>
        <w:t>18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日至</w:t>
      </w:r>
      <w:r>
        <w:rPr>
          <w:rFonts w:ascii="DFKai-SB" w:hAnsi="DFKai-SB" w:eastAsia="宋体" w:cs="宋体"/>
          <w:color w:val="000000"/>
          <w:kern w:val="0"/>
          <w:szCs w:val="21"/>
        </w:rPr>
        <w:t>19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日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上午</w:t>
      </w:r>
      <w:r>
        <w:rPr>
          <w:rFonts w:ascii="DFKai-SB" w:hAnsi="DFKai-SB" w:eastAsia="宋体" w:cs="宋体"/>
          <w:color w:val="000000"/>
          <w:kern w:val="0"/>
          <w:szCs w:val="21"/>
        </w:rPr>
        <w:t>10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时至下午</w:t>
      </w:r>
      <w:r>
        <w:rPr>
          <w:rFonts w:ascii="DFKai-SB" w:hAnsi="DFKai-SB" w:eastAsia="宋体" w:cs="宋体"/>
          <w:color w:val="000000"/>
          <w:kern w:val="0"/>
          <w:szCs w:val="21"/>
        </w:rPr>
        <w:t>6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时</w:t>
      </w:r>
    </w:p>
    <w:p>
      <w:pPr>
        <w:widowControl/>
        <w:spacing w:before="60" w:after="60" w:line="360" w:lineRule="auto"/>
        <w:ind w:firstLine="735" w:firstLineChars="350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ascii="DFKai-SB" w:hAnsi="DFKai-SB" w:eastAsia="宋体" w:cs="宋体"/>
          <w:color w:val="000000"/>
          <w:kern w:val="0"/>
          <w:szCs w:val="21"/>
        </w:rPr>
        <w:t>10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月</w:t>
      </w:r>
      <w:r>
        <w:rPr>
          <w:rFonts w:ascii="DFKai-SB" w:hAnsi="DFKai-SB" w:eastAsia="宋体" w:cs="宋体"/>
          <w:color w:val="000000"/>
          <w:kern w:val="0"/>
          <w:szCs w:val="21"/>
        </w:rPr>
        <w:t>20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日　　 　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上午</w:t>
      </w:r>
      <w:r>
        <w:rPr>
          <w:rFonts w:ascii="DFKai-SB" w:hAnsi="DFKai-SB" w:eastAsia="宋体" w:cs="宋体"/>
          <w:color w:val="000000"/>
          <w:kern w:val="0"/>
          <w:szCs w:val="21"/>
        </w:rPr>
        <w:t>10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时至下午</w:t>
      </w:r>
      <w:r>
        <w:rPr>
          <w:rFonts w:ascii="DFKai-SB" w:hAnsi="DFKai-SB" w:eastAsia="宋体" w:cs="宋体"/>
          <w:color w:val="000000"/>
          <w:kern w:val="0"/>
          <w:szCs w:val="21"/>
        </w:rPr>
        <w:t>5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时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984807" w:themeColor="accent6" w:themeShade="8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984807" w:themeColor="accent6" w:themeShade="80"/>
          <w:kern w:val="0"/>
          <w:szCs w:val="21"/>
        </w:rPr>
        <w:t>展览地点：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台北南港展览馆</w:t>
      </w:r>
      <w:r>
        <w:rPr>
          <w:rFonts w:ascii="DFKai-SB" w:hAnsi="DFKai-SB" w:eastAsia="宋体" w:cs="宋体"/>
          <w:color w:val="000000"/>
          <w:kern w:val="0"/>
          <w:szCs w:val="21"/>
        </w:rPr>
        <w:t>1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馆</w:t>
      </w:r>
      <w:r>
        <w:rPr>
          <w:rFonts w:ascii="DFKai-SB" w:hAnsi="DFKai-SB" w:eastAsia="宋体" w:cs="宋体"/>
          <w:color w:val="000000"/>
          <w:kern w:val="0"/>
          <w:szCs w:val="21"/>
        </w:rPr>
        <w:t>1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楼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(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台北市南港区经贸二路</w:t>
      </w:r>
      <w:r>
        <w:rPr>
          <w:rFonts w:ascii="DFKai-SB" w:hAnsi="DFKai-SB" w:eastAsia="宋体" w:cs="宋体"/>
          <w:color w:val="000000"/>
          <w:kern w:val="0"/>
          <w:szCs w:val="21"/>
        </w:rPr>
        <w:t>1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号</w:t>
      </w:r>
      <w:r>
        <w:rPr>
          <w:rFonts w:ascii="DFKai-SB" w:hAnsi="DFKai-SB" w:eastAsia="宋体" w:cs="宋体"/>
          <w:color w:val="000000"/>
          <w:kern w:val="0"/>
          <w:szCs w:val="21"/>
        </w:rPr>
        <w:t>)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C0000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984807" w:themeColor="accent6" w:themeShade="80"/>
          <w:kern w:val="0"/>
          <w:szCs w:val="21"/>
        </w:rPr>
        <w:t>展览网址：</w:t>
      </w:r>
      <w:r>
        <w:rPr>
          <w:rFonts w:ascii="DFKai-SB" w:hAnsi="DFKai-SB" w:eastAsia="宋体" w:cs="宋体"/>
          <w:b/>
          <w:bCs/>
          <w:color w:val="C00000"/>
          <w:kern w:val="0"/>
          <w:szCs w:val="21"/>
        </w:rPr>
        <w:t>http://www.greentaiwan.tw/zh_TW/index.html</w:t>
      </w:r>
    </w:p>
    <w:p>
      <w:pPr>
        <w:widowControl/>
        <w:spacing w:before="60" w:after="60" w:line="360" w:lineRule="auto"/>
        <w:rPr>
          <w:rFonts w:hint="eastAsia" w:ascii="DFKai-SB" w:hAnsi="DFKai-SB" w:eastAsia="宋体" w:cs="宋体"/>
          <w:b/>
          <w:bCs/>
          <w:color w:val="000000"/>
          <w:kern w:val="0"/>
          <w:szCs w:val="21"/>
        </w:rPr>
      </w:pP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984807" w:themeColor="accent6" w:themeShade="8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984807" w:themeColor="accent6" w:themeShade="80"/>
          <w:kern w:val="0"/>
          <w:szCs w:val="21"/>
        </w:rPr>
        <w:t>展出内容：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000000"/>
          <w:kern w:val="0"/>
          <w:szCs w:val="21"/>
        </w:rPr>
        <w:t>台湾国际绿色能源展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替代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再生能源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风力发电、风力零组件及控制系统、太阳能、生质能源、地热能、智慧电网、电力能源设备和基础设施、信息科技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通讯设备、水力发电、潮汐发电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储能系统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电池、燃料电池、锂电池、动力电池、智能储能系统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油电混合车、电动汽车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机车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节能车</w:t>
      </w:r>
      <w:r>
        <w:rPr>
          <w:rFonts w:ascii="DFKai-SB" w:hAnsi="DFKai-SB" w:eastAsia="宋体" w:cs="宋体"/>
          <w:color w:val="000000"/>
          <w:kern w:val="0"/>
          <w:szCs w:val="21"/>
        </w:rPr>
        <w:t>\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机车、电动车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机车、引擎及马达混合动力汽车及配件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节能产品</w:t>
      </w:r>
      <w:r>
        <w:rPr>
          <w:rFonts w:ascii="DFKai-SB" w:hAnsi="DFKai-SB" w:eastAsia="宋体" w:cs="宋体"/>
          <w:color w:val="000000"/>
          <w:kern w:val="0"/>
          <w:szCs w:val="21"/>
        </w:rPr>
        <w:t>: LED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照明及应用产品、行动电源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充电器及相关配件、热泵系统、厨房卫浴、节能技术和产品、节能标章产品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000000"/>
          <w:kern w:val="0"/>
          <w:szCs w:val="21"/>
        </w:rPr>
        <w:t>台湾国际低碳环保展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水及废水处理与回收设备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用水处理、化学处理、生物处理、泵浦设备、曝气设备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污泥处理及资源化设备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带滤式及压滤式脱水机、污泥干燥设备及资源化设备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空气污染防治与噪音防制设备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粒状污染物处理、有害气体处理设备、复合式废弃处理系统、工业清扫集尘、环境空气净化设备、送排风机、滤气处理附属设备、噪音防制设备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废弃物处理及回收设备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资源回收设备、耐火材料、有机废弃物资源化设备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环保仪控关联设备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000000"/>
          <w:kern w:val="0"/>
          <w:szCs w:val="21"/>
        </w:rPr>
        <w:t>台湾水科技展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水资源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公共及生活自来水、工业用水、农业用水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再生水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排水与污水处理、工业废水处理、废水、污水回收再利用设备、设施及工程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水器材及仪器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水利工程、服务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标准认证检测服务、水环境污染防治服务、饮用水设备工程、废水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污水</w:t>
      </w:r>
      <w:r>
        <w:rPr>
          <w:rFonts w:ascii="DFKai-SB" w:hAnsi="DFKai-SB" w:eastAsia="宋体" w:cs="宋体"/>
          <w:color w:val="000000"/>
          <w:kern w:val="0"/>
          <w:szCs w:val="21"/>
        </w:rPr>
        <w:t>/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下水道设施及工程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水商品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000000"/>
          <w:kern w:val="0"/>
          <w:szCs w:val="21"/>
        </w:rPr>
        <w:t>台湾国际绿色都市展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绿建筑技术及整体性解决方案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整体性解决方案、技术工法、屋顶绿化及绿化墙、绿色工厂标章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物联网及智能资通讯系统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物联网相关产品、云端科技、智能建筑、智慧电表、监控设备、无线感测、无障碍空间规划、智慧健康照护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绿色运输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大众交通系统、交通管理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绿色都市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: 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都市规划、都市更新、生态小区、生态绿化、永续工程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b/>
          <w:bCs/>
          <w:color w:val="000000"/>
          <w:kern w:val="0"/>
          <w:szCs w:val="21"/>
        </w:rPr>
        <w:t>台湾绿色消费展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color w:val="000000"/>
          <w:kern w:val="0"/>
          <w:szCs w:val="21"/>
        </w:rPr>
      </w:pPr>
      <w:r>
        <w:rPr>
          <w:rFonts w:hint="eastAsia" w:ascii="DFKai-SB" w:hAnsi="DFKai-SB" w:eastAsia="宋体" w:cs="宋体"/>
          <w:color w:val="000000"/>
          <w:kern w:val="0"/>
          <w:szCs w:val="21"/>
        </w:rPr>
        <w:t>•</w:t>
      </w:r>
      <w:r>
        <w:rPr>
          <w:rFonts w:ascii="DFKai-SB" w:hAnsi="DFKai-SB" w:eastAsia="宋体" w:cs="宋体"/>
          <w:color w:val="000000"/>
          <w:kern w:val="0"/>
          <w:szCs w:val="21"/>
        </w:rPr>
        <w:t xml:space="preserve"> MIT</w:t>
      </w:r>
      <w:r>
        <w:rPr>
          <w:rFonts w:hint="eastAsia" w:ascii="DFKai-SB" w:hAnsi="DFKai-SB" w:eastAsia="宋体" w:cs="宋体"/>
          <w:color w:val="000000"/>
          <w:kern w:val="0"/>
          <w:szCs w:val="21"/>
        </w:rPr>
        <w:t>微笑标章、环保标章、有机产品、植物工厂及相关产品、节能标章、省水标章、正字标记、智能建筑标章、碳足迹标签、绿色工厂标章、绿建筑标章、绿建材标章</w:t>
      </w: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hint="eastAsia" w:ascii="Microsoft JhengHei" w:hAnsi="Microsoft JhengHei"/>
          <w:b/>
          <w:bCs/>
          <w:color w:val="008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ascii="Microsoft JhengHei" w:hAnsi="Microsoft JhengHei"/>
          <w:b/>
          <w:bCs/>
          <w:color w:val="008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hint="eastAsia" w:ascii="Microsoft JhengHei" w:hAnsi="Microsoft JhengHei"/>
          <w:b/>
          <w:bCs/>
          <w:color w:val="984807" w:themeColor="accent6" w:themeShade="8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ascii="Microsoft JhengHei" w:hAnsi="Microsoft JhengHei" w:eastAsia="Microsoft JhengHei"/>
          <w:color w:val="984807" w:themeColor="accent6" w:themeShade="80"/>
          <w:sz w:val="21"/>
          <w:szCs w:val="21"/>
        </w:rPr>
      </w:pPr>
      <w:r>
        <w:rPr>
          <w:rFonts w:hint="eastAsia" w:ascii="Microsoft JhengHei" w:hAnsi="Microsoft JhengHei"/>
          <w:b/>
          <w:bCs/>
          <w:color w:val="984807" w:themeColor="accent6" w:themeShade="80"/>
          <w:sz w:val="21"/>
          <w:szCs w:val="21"/>
        </w:rPr>
        <w:t>展览配合活动：</w:t>
      </w: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ascii="Microsoft JhengHei" w:hAnsi="Microsoft JhengHei" w:eastAsia="Microsoft JhengHei"/>
          <w:color w:val="333333"/>
          <w:sz w:val="21"/>
          <w:szCs w:val="21"/>
        </w:rPr>
      </w:pPr>
      <w:r>
        <w:rPr>
          <w:rFonts w:hint="eastAsia" w:ascii="Microsoft JhengHei" w:hAnsi="Microsoft JhengHei"/>
          <w:color w:val="000000"/>
          <w:sz w:val="21"/>
          <w:szCs w:val="21"/>
        </w:rPr>
        <w:t>•</w:t>
      </w:r>
      <w:r>
        <w:rPr>
          <w:rStyle w:val="13"/>
          <w:rFonts w:ascii="Microsoft JhengHei" w:hAnsi="Microsoft JhengHei"/>
          <w:color w:val="000000"/>
          <w:sz w:val="21"/>
          <w:szCs w:val="21"/>
        </w:rPr>
        <w:t> </w:t>
      </w:r>
      <w:r>
        <w:rPr>
          <w:rFonts w:hint="eastAsia" w:ascii="Microsoft JhengHei" w:hAnsi="Microsoft JhengHei"/>
          <w:color w:val="000000"/>
          <w:sz w:val="21"/>
          <w:szCs w:val="21"/>
        </w:rPr>
        <w:t>开幕典礼</w:t>
      </w: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ascii="Microsoft JhengHei" w:hAnsi="Microsoft JhengHei" w:eastAsia="Microsoft JhengHei"/>
          <w:color w:val="333333"/>
          <w:sz w:val="21"/>
          <w:szCs w:val="21"/>
        </w:rPr>
      </w:pPr>
      <w:r>
        <w:rPr>
          <w:rFonts w:hint="eastAsia" w:ascii="Microsoft JhengHei" w:hAnsi="Microsoft JhengHei"/>
          <w:color w:val="000000"/>
          <w:sz w:val="21"/>
          <w:szCs w:val="21"/>
        </w:rPr>
        <w:t>•</w:t>
      </w:r>
      <w:r>
        <w:rPr>
          <w:rStyle w:val="13"/>
          <w:rFonts w:ascii="Microsoft JhengHei" w:hAnsi="Microsoft JhengHei"/>
          <w:color w:val="000000"/>
          <w:sz w:val="21"/>
          <w:szCs w:val="21"/>
        </w:rPr>
        <w:t> </w:t>
      </w:r>
      <w:r>
        <w:rPr>
          <w:rFonts w:hint="eastAsia" w:ascii="Microsoft JhengHei" w:hAnsi="Microsoft JhengHei"/>
          <w:color w:val="000000"/>
          <w:sz w:val="21"/>
          <w:szCs w:val="21"/>
        </w:rPr>
        <w:t>能源、环保、水科技相关论坛</w:t>
      </w:r>
      <w:r>
        <w:rPr>
          <w:rFonts w:ascii="Microsoft JhengHei" w:hAnsi="Microsoft JhengHei"/>
          <w:color w:val="000000"/>
          <w:sz w:val="21"/>
          <w:szCs w:val="21"/>
        </w:rPr>
        <w:t>/</w:t>
      </w:r>
      <w:r>
        <w:rPr>
          <w:rFonts w:hint="eastAsia" w:ascii="Microsoft JhengHei" w:hAnsi="Microsoft JhengHei"/>
          <w:color w:val="000000"/>
          <w:sz w:val="21"/>
          <w:szCs w:val="21"/>
        </w:rPr>
        <w:t>研讨会</w:t>
      </w: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ascii="Microsoft JhengHei" w:hAnsi="Microsoft JhengHei" w:eastAsia="Microsoft JhengHei"/>
          <w:color w:val="333333"/>
          <w:sz w:val="21"/>
          <w:szCs w:val="21"/>
        </w:rPr>
      </w:pPr>
      <w:r>
        <w:rPr>
          <w:rFonts w:hint="eastAsia" w:ascii="Microsoft JhengHei" w:hAnsi="Microsoft JhengHei"/>
          <w:color w:val="000000"/>
          <w:sz w:val="21"/>
          <w:szCs w:val="21"/>
        </w:rPr>
        <w:t>•</w:t>
      </w:r>
      <w:r>
        <w:rPr>
          <w:rStyle w:val="13"/>
          <w:rFonts w:ascii="Microsoft JhengHei" w:hAnsi="Microsoft JhengHei"/>
          <w:color w:val="000000"/>
          <w:sz w:val="21"/>
          <w:szCs w:val="21"/>
        </w:rPr>
        <w:t> </w:t>
      </w:r>
      <w:r>
        <w:rPr>
          <w:rFonts w:hint="eastAsia" w:ascii="Microsoft JhengHei" w:hAnsi="Microsoft JhengHei"/>
          <w:color w:val="000000"/>
          <w:sz w:val="21"/>
          <w:szCs w:val="21"/>
        </w:rPr>
        <w:t>商机洽谈会、</w:t>
      </w:r>
      <w:r>
        <w:rPr>
          <w:rFonts w:ascii="Microsoft JhengHei" w:hAnsi="Microsoft JhengHei"/>
          <w:color w:val="000000"/>
          <w:sz w:val="21"/>
          <w:szCs w:val="21"/>
        </w:rPr>
        <w:t>1</w:t>
      </w:r>
      <w:r>
        <w:rPr>
          <w:rFonts w:hint="eastAsia" w:ascii="Microsoft JhengHei" w:hAnsi="Microsoft JhengHei"/>
          <w:color w:val="000000"/>
          <w:sz w:val="21"/>
          <w:szCs w:val="21"/>
        </w:rPr>
        <w:t>对</w:t>
      </w:r>
      <w:r>
        <w:rPr>
          <w:rFonts w:ascii="Microsoft JhengHei" w:hAnsi="Microsoft JhengHei"/>
          <w:color w:val="000000"/>
          <w:sz w:val="21"/>
          <w:szCs w:val="21"/>
        </w:rPr>
        <w:t>1</w:t>
      </w:r>
      <w:r>
        <w:rPr>
          <w:rFonts w:hint="eastAsia" w:ascii="Microsoft JhengHei" w:hAnsi="Microsoft JhengHei"/>
          <w:color w:val="000000"/>
          <w:sz w:val="21"/>
          <w:szCs w:val="21"/>
        </w:rPr>
        <w:t>贸易洽谈会</w:t>
      </w:r>
    </w:p>
    <w:p>
      <w:pPr>
        <w:pStyle w:val="5"/>
        <w:shd w:val="clear" w:color="auto" w:fill="FFFFFF"/>
        <w:spacing w:before="0" w:beforeAutospacing="0" w:after="60" w:afterAutospacing="0" w:line="360" w:lineRule="atLeast"/>
        <w:rPr>
          <w:rFonts w:ascii="Microsoft JhengHei" w:hAnsi="Microsoft JhengHei" w:eastAsia="Microsoft JhengHei"/>
          <w:color w:val="333333"/>
          <w:sz w:val="21"/>
          <w:szCs w:val="21"/>
        </w:rPr>
      </w:pPr>
      <w:r>
        <w:rPr>
          <w:rFonts w:hint="eastAsia" w:ascii="Microsoft JhengHei" w:hAnsi="Microsoft JhengHei"/>
          <w:color w:val="000000"/>
          <w:sz w:val="21"/>
          <w:szCs w:val="21"/>
        </w:rPr>
        <w:t>•</w:t>
      </w:r>
      <w:r>
        <w:rPr>
          <w:rStyle w:val="13"/>
          <w:rFonts w:ascii="Microsoft JhengHei" w:hAnsi="Microsoft JhengHei"/>
          <w:color w:val="000000"/>
          <w:sz w:val="21"/>
          <w:szCs w:val="21"/>
        </w:rPr>
        <w:t> </w:t>
      </w:r>
      <w:r>
        <w:rPr>
          <w:rFonts w:hint="eastAsia" w:ascii="Microsoft JhengHei" w:hAnsi="Microsoft JhengHei"/>
          <w:color w:val="000000"/>
          <w:sz w:val="21"/>
          <w:szCs w:val="21"/>
        </w:rPr>
        <w:t>参展厂商新产品发表会</w:t>
      </w: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60" w:after="60" w:line="360" w:lineRule="auto"/>
        <w:rPr>
          <w:rFonts w:ascii="DFKai-SB" w:hAnsi="DFKai-SB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ascii="DFKai-SB" w:hAnsi="DFKai-SB" w:eastAsia="宋体" w:cs="宋体"/>
          <w:b/>
          <w:bCs/>
          <w:color w:val="000000"/>
          <w:kern w:val="0"/>
          <w:sz w:val="32"/>
          <w:szCs w:val="32"/>
          <w:lang w:bidi="bo-CN"/>
        </w:rPr>
        <w:drawing>
          <wp:inline distT="0" distB="0" distL="0" distR="0">
            <wp:extent cx="5756275" cy="72326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377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spacing w:before="60" w:after="60" w:line="360" w:lineRule="auto"/>
        <w:rPr>
          <w:rFonts w:ascii="DFKai-SB" w:hAnsi="DFKai-SB" w:eastAsia="DFKai-SB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DFKai-SB" w:hAnsi="DFKai-SB" w:eastAsia="宋体" w:cs="宋体"/>
          <w:b/>
          <w:bCs/>
          <w:color w:val="000000"/>
          <w:kern w:val="0"/>
          <w:sz w:val="24"/>
          <w:szCs w:val="24"/>
        </w:rPr>
        <w:t>补助条件：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widowControl/>
              <w:spacing w:before="60" w:after="60" w:line="360" w:lineRule="auto"/>
              <w:rPr>
                <w:rFonts w:ascii="DFKai-SB" w:hAnsi="DFKai-SB" w:eastAsia="DFKai-SB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组团前往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各企业近</w:t>
            </w:r>
            <w:r>
              <w:rPr>
                <w:rFonts w:ascii="DFKai-SB" w:hAnsi="DFKai-SB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年内任</w:t>
            </w:r>
            <w:r>
              <w:rPr>
                <w:rFonts w:ascii="DFKai-SB" w:hAnsi="DFKai-SB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年之营业额达</w:t>
            </w:r>
            <w:r>
              <w:rPr>
                <w:rFonts w:ascii="DFKai-SB" w:hAnsi="DFKai-SB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万美元以上。</w:t>
            </w:r>
            <w:r>
              <w:rPr>
                <w:rFonts w:ascii="DFKai-SB" w:hAnsi="DFKai-SB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五个观展单位即可组团</w:t>
            </w:r>
            <w:r>
              <w:rPr>
                <w:rFonts w:ascii="DFKai-SB" w:hAnsi="DFKai-SB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营业项目必须与本展相关</w:t>
            </w:r>
            <w:r>
              <w:rPr>
                <w:rFonts w:ascii="DFKai-SB" w:hAnsi="DFKai-SB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>
            <w:pPr>
              <w:widowControl/>
              <w:spacing w:before="60" w:after="60" w:line="360" w:lineRule="auto"/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提供每家企业上限为新台币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含税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之补助，全团补助上限为新台币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万元。以上补助经费限用于往返台北机票或最多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个晚上之在台住宿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含机场接送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；来台期间需至少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天在展期内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(2017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住宿日期须在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日。请于申请时备注欲使用于住宿或机票补助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widowControl/>
              <w:spacing w:before="60" w:after="60" w:line="360" w:lineRule="auto"/>
              <w:rPr>
                <w:rFonts w:ascii="DFKai-SB" w:hAnsi="DFKai-SB" w:eastAsia="DFKai-SB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FKai-SB" w:hAnsi="DFKai-SB" w:eastAsia="宋体" w:cs="宋体"/>
                <w:color w:val="000000"/>
                <w:kern w:val="0"/>
                <w:sz w:val="24"/>
                <w:szCs w:val="24"/>
              </w:rPr>
              <w:t>住宿补助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：近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年内任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年之营业额达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万美元以上</w:t>
            </w:r>
          </w:p>
        </w:tc>
        <w:tc>
          <w:tcPr>
            <w:tcW w:w="5670" w:type="dxa"/>
          </w:tcPr>
          <w:p>
            <w:pPr>
              <w:widowControl/>
              <w:spacing w:before="60" w:after="60" w:line="360" w:lineRule="auto"/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提供最多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个晚上、上限新台币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含税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之住宿补助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含机场接送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；住宿日期须在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DFKai-SB" w:hAnsi="DFKai-SB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DFKai-SB" w:hAnsi="DFKai-SB" w:cs="宋体"/>
                <w:color w:val="000000"/>
                <w:kern w:val="0"/>
                <w:sz w:val="24"/>
                <w:szCs w:val="24"/>
              </w:rPr>
              <w:t>日。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如有意愿观展的业者，请联系。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申</w:t>
      </w:r>
      <w:r>
        <w:rPr>
          <w:rFonts w:hint="eastAsia"/>
          <w:sz w:val="24"/>
          <w:szCs w:val="24"/>
        </w:rPr>
        <w:t>小姐</w:t>
      </w:r>
      <w:r>
        <w:rPr>
          <w:sz w:val="24"/>
          <w:szCs w:val="24"/>
        </w:rPr>
        <w:t xml:space="preserve"> 028</w:t>
      </w:r>
      <w:r>
        <w:rPr>
          <w:rFonts w:hint="eastAsia"/>
          <w:sz w:val="24"/>
          <w:szCs w:val="24"/>
        </w:rPr>
        <w:t xml:space="preserve">-85505909 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</w:rPr>
        <w:t>8004</w:t>
      </w:r>
      <w:r>
        <w:rPr>
          <w:rFonts w:hint="eastAsia"/>
          <w:sz w:val="24"/>
          <w:szCs w:val="24"/>
        </w:rPr>
        <w:t>，615905955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  <w:lang w:val="en-US" w:eastAsia="zh-CN"/>
        </w:rPr>
        <w:t>qq.</w:t>
      </w:r>
      <w:bookmarkStart w:id="3" w:name="_GoBack"/>
      <w:r>
        <w:rPr>
          <w:rFonts w:hint="eastAsia"/>
          <w:sz w:val="24"/>
          <w:szCs w:val="24"/>
          <w:lang w:val="en-US" w:eastAsia="zh-CN"/>
        </w:rPr>
        <w:t>c</w:t>
      </w:r>
      <w:bookmarkEnd w:id="3"/>
      <w:r>
        <w:rPr>
          <w:rFonts w:hint="eastAsia"/>
          <w:sz w:val="24"/>
          <w:szCs w:val="24"/>
          <w:lang w:val="en-US" w:eastAsia="zh-CN"/>
        </w:rPr>
        <w:t>om</w:t>
      </w:r>
    </w:p>
    <w:p>
      <w:pPr>
        <w:widowControl/>
        <w:shd w:val="clear" w:color="auto" w:fill="FFFFFF"/>
        <w:autoSpaceDN w:val="0"/>
        <w:spacing w:after="180" w:line="400" w:lineRule="exact"/>
        <w:ind w:left="-708" w:leftChars="-337" w:right="-624" w:rightChars="-297" w:firstLine="4262" w:firstLineChars="1769"/>
        <w:jc w:val="left"/>
        <w:rPr>
          <w:rFonts w:hint="eastAsia" w:ascii="PMingLiU" w:hAnsi="PMingLiU" w:eastAsia="宋体" w:cs="Times New Roman"/>
          <w:b/>
          <w:kern w:val="0"/>
          <w:sz w:val="24"/>
          <w:szCs w:val="24"/>
        </w:rPr>
      </w:pPr>
      <w:bookmarkStart w:id="0" w:name="OLE_LINK3"/>
      <w:bookmarkStart w:id="1" w:name="OLE_LINK2"/>
    </w:p>
    <w:p>
      <w:pPr>
        <w:widowControl/>
        <w:shd w:val="clear" w:color="auto" w:fill="FFFFFF"/>
        <w:autoSpaceDN w:val="0"/>
        <w:spacing w:after="180" w:line="400" w:lineRule="exact"/>
        <w:ind w:left="-708" w:leftChars="-337" w:right="-624" w:rightChars="-297" w:firstLine="4262" w:firstLineChars="1769"/>
        <w:jc w:val="left"/>
        <w:rPr>
          <w:rFonts w:hint="eastAsia" w:ascii="PMingLiU" w:hAnsi="PMingLiU" w:eastAsia="宋体" w:cs="Times New Roman"/>
          <w:b/>
          <w:kern w:val="0"/>
          <w:sz w:val="24"/>
          <w:szCs w:val="24"/>
        </w:rPr>
      </w:pPr>
    </w:p>
    <w:p>
      <w:pPr>
        <w:widowControl/>
        <w:shd w:val="clear" w:color="auto" w:fill="FFFFFF"/>
        <w:autoSpaceDN w:val="0"/>
        <w:spacing w:after="180" w:line="400" w:lineRule="exact"/>
        <w:ind w:left="-708" w:leftChars="-337" w:right="-624" w:rightChars="-297" w:firstLine="4262" w:firstLineChars="1769"/>
        <w:jc w:val="left"/>
        <w:rPr>
          <w:rFonts w:ascii="PMingLiU" w:hAnsi="PMingLiU" w:eastAsia="PMingLiU" w:cs="Times New Roman"/>
          <w:kern w:val="0"/>
          <w:sz w:val="24"/>
          <w:szCs w:val="24"/>
        </w:rPr>
      </w:pPr>
      <w:r>
        <w:rPr>
          <w:rFonts w:hint="eastAsia" w:ascii="PMingLiU" w:hAnsi="PMingLiU" w:eastAsia="宋体" w:cs="Times New Roman"/>
          <w:b/>
          <w:kern w:val="0"/>
          <w:sz w:val="24"/>
          <w:szCs w:val="24"/>
        </w:rPr>
        <w:t>观展</w:t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t xml:space="preserve">       </w:t>
      </w:r>
      <w:bookmarkStart w:id="2" w:name="OLE_LINK1"/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t>供应器、产业制程</w:t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PMingLiU" w:cs="Times New Roman"/>
          <w:b/>
          <w:vanish/>
          <w:kern w:val="0"/>
          <w:sz w:val="24"/>
          <w:szCs w:val="24"/>
        </w:rPr>
        <w:pgNum/>
      </w:r>
      <w:r>
        <w:rPr>
          <w:rFonts w:hint="eastAsia" w:ascii="PMingLiU" w:hAnsi="PMingLiU" w:eastAsia="宋体" w:cs="Times New Roman"/>
          <w:b/>
          <w:kern w:val="0"/>
          <w:sz w:val="24"/>
          <w:szCs w:val="24"/>
        </w:rPr>
        <w:t>回执表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</w:tcPr>
          <w:p>
            <w:pPr>
              <w:widowControl/>
              <w:spacing w:line="400" w:lineRule="exact"/>
              <w:ind w:firstLine="120" w:firstLineChars="5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3543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>
            <w:pPr>
              <w:widowControl/>
              <w:spacing w:line="400" w:lineRule="exact"/>
              <w:ind w:firstLine="120" w:firstLineChars="5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网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3402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</w:tcPr>
          <w:p>
            <w:pPr>
              <w:widowControl/>
              <w:spacing w:line="400" w:lineRule="exact"/>
              <w:ind w:firstLine="240" w:firstLineChars="10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43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>
            <w:pPr>
              <w:widowControl/>
              <w:spacing w:line="400" w:lineRule="exact"/>
              <w:ind w:firstLine="120" w:firstLineChars="5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3402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</w:tcPr>
          <w:p>
            <w:pPr>
              <w:widowControl/>
              <w:spacing w:line="400" w:lineRule="exact"/>
              <w:ind w:firstLine="240" w:firstLineChars="10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3543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>
            <w:pPr>
              <w:widowControl/>
              <w:spacing w:line="400" w:lineRule="exact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3402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</w:tcPr>
          <w:p>
            <w:pPr>
              <w:widowControl/>
              <w:spacing w:line="400" w:lineRule="exact"/>
              <w:ind w:firstLine="240" w:firstLineChars="10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邮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3543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400" w:lineRule="exact"/>
              <w:ind w:firstLine="120" w:firstLineChars="5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传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真</w:t>
            </w:r>
          </w:p>
        </w:tc>
        <w:tc>
          <w:tcPr>
            <w:tcW w:w="3402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8" w:type="dxa"/>
          </w:tcPr>
          <w:p>
            <w:pPr>
              <w:widowControl/>
              <w:spacing w:line="400" w:lineRule="exact"/>
              <w:ind w:firstLine="240" w:firstLineChars="10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地</w:t>
            </w:r>
            <w:r>
              <w:rPr>
                <w:rFonts w:ascii="PMingLiU" w:hAnsi="PMingLiU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3543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400" w:lineRule="exact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年营业额</w:t>
            </w:r>
          </w:p>
        </w:tc>
        <w:tc>
          <w:tcPr>
            <w:tcW w:w="3402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68" w:type="dxa"/>
          </w:tcPr>
          <w:p>
            <w:pPr>
              <w:widowControl/>
              <w:spacing w:line="400" w:lineRule="exact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拟采购项目</w:t>
            </w:r>
          </w:p>
        </w:tc>
        <w:tc>
          <w:tcPr>
            <w:tcW w:w="3543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400" w:lineRule="exact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PMingLiU" w:hAnsi="PMingLiU" w:eastAsia="宋体" w:cs="Times New Roman"/>
                <w:kern w:val="0"/>
                <w:sz w:val="24"/>
                <w:szCs w:val="24"/>
              </w:rPr>
              <w:t>营业项目</w:t>
            </w:r>
          </w:p>
        </w:tc>
        <w:tc>
          <w:tcPr>
            <w:tcW w:w="3402" w:type="dxa"/>
          </w:tcPr>
          <w:p>
            <w:pPr>
              <w:widowControl/>
              <w:spacing w:line="400" w:lineRule="exact"/>
              <w:ind w:firstLine="120"/>
              <w:rPr>
                <w:rFonts w:ascii="PMingLiU" w:hAnsi="PMingLiU" w:eastAsia="PMingLiU" w:cs="Times New Roman"/>
                <w:kern w:val="0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30"/>
      </w:pBdr>
    </w:pPr>
    <w:r>
      <w:rPr>
        <w:lang w:bidi="bo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-301625</wp:posOffset>
          </wp:positionV>
          <wp:extent cx="744220" cy="747395"/>
          <wp:effectExtent l="19050" t="0" r="0" b="0"/>
          <wp:wrapNone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276" cy="747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bidi="bo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335915</wp:posOffset>
              </wp:positionH>
              <wp:positionV relativeFrom="paragraph">
                <wp:posOffset>-429260</wp:posOffset>
              </wp:positionV>
              <wp:extent cx="1526540" cy="1200785"/>
              <wp:effectExtent l="2540" t="0" r="4445" b="254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1200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0" w:lineRule="exact"/>
                            <w:rPr>
                              <w:rFonts w:ascii="DFKai-SB" w:hAnsi="DFKai-SB" w:eastAsia="DFKai-SB"/>
                              <w:b/>
                              <w:kern w:val="0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hint="eastAsia" w:ascii="DFKai-SB" w:hAnsi="DFKai-SB" w:eastAsia="宋体"/>
                              <w:b/>
                              <w:kern w:val="0"/>
                              <w:sz w:val="28"/>
                              <w:szCs w:val="28"/>
                            </w:rPr>
                            <w:t>台湾贸易中心</w:t>
                          </w:r>
                        </w:p>
                        <w:p>
                          <w:pPr>
                            <w:spacing w:line="300" w:lineRule="exact"/>
                            <w:rPr>
                              <w:rFonts w:ascii="DFKai-SB" w:hAnsi="DFKai-SB" w:eastAsia="DFKai-SB"/>
                              <w:b/>
                              <w:kern w:val="0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hint="eastAsia" w:ascii="DFKai-SB" w:hAnsi="DFKai-SB" w:eastAsia="宋体"/>
                              <w:b/>
                              <w:kern w:val="0"/>
                              <w:sz w:val="28"/>
                              <w:szCs w:val="28"/>
                            </w:rPr>
                            <w:t>成都代表处</w:t>
                          </w:r>
                        </w:p>
                        <w:p>
                          <w:pPr>
                            <w:spacing w:before="120" w:line="300" w:lineRule="exact"/>
                            <w:rPr>
                              <w:rFonts w:ascii="DFKai-SB" w:hAnsi="DFKai-SB" w:eastAsia="DFKai-SB"/>
                              <w:b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FKai-SB" w:hAnsi="DFKai-SB" w:eastAsia="宋体"/>
                              <w:b/>
                              <w:kern w:val="0"/>
                              <w:sz w:val="28"/>
                              <w:szCs w:val="28"/>
                            </w:rPr>
                            <w:t>Taiwan Trade Center, Chengdu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6.45pt;margin-top:-33.8pt;height:94.55pt;width:120.2pt;z-index:251658240;mso-width-relative:page;mso-height-relative:page;" filled="f" stroked="f" coordsize="21600,21600" o:gfxdata="UEsDBAoAAAAAAIdO4kAAAAAAAAAAAAAAAAAEAAAAZHJzL1BLAwQUAAAACACHTuJAnCCXMNkAAAAK&#10;AQAADwAAAGRycy9kb3ducmV2LnhtbE2Py07DMBBF90j8gzVI7FrnoQYS4nSB1AVFIGj7AZPYJBHx&#10;OMRuE/6eYQXL0T2690y5XewgLmbyvSMF8ToCYahxuqdWwem4W92D8AFJ4+DIKPg2HrbV9VWJhXYz&#10;vZvLIbSCS8gXqKALYSyk9E1nLPq1Gw1x9uEmi4HPqZV6wpnL7SCTKMqkxZ54ocPRPHam+TycrYKX&#10;3evzU77sjzX2+9l9vaWnbialbm/i6AFEMEv4g+FXn9WhYqfanUl7MSjYJDmTClbZXQaCgSRPUxA1&#10;k0m8AVmV8v8L1Q9QSwMEFAAAAAgAh07iQOR4w13sAQAAwwMAAA4AAABkcnMvZTJvRG9jLnhtbK1T&#10;227bMAx9H7B/EPS+ODGStDPiFF2LDgO6C9DuAxhZtoXZokYpsbOvHyWnWba9DXsRJJE6POeQ2tyM&#10;fScOmrxBW8rFbC6FtgorY5tSfn1+eHMthQ9gK+jQ6lIetZc329evNoMrdI4tdpUmwSDWF4MrZRuC&#10;K7LMq1b34GfotOVgjdRD4CM1WUUwMHrfZfl8vs4GpMoRKu09395PQblN+HWtVfhc114H0ZWSuYW0&#10;Ulp3cc22GygaAtcadaIB/8CiB2O56BnqHgKIPZm/oHqjCD3WYaawz7CujdJJA6tZzP9Q89SC00kL&#10;m+Pd2Sb//2DVp8MXEqYq5VoKCz236FmPQbzDUeTRncH5gpOeHKeFka+5y0mpd4+ovnlh8a4F2+hb&#10;IhxaDRWzW8SX2cXTCcdHkN3wESsuA/uACWisqY/WsRmC0blLx3NnIhUVS67y9WrJIcWxBTf+6nqV&#10;akDx8tyRD+819iJuSknc+gQPh0cfIh0oXlJiNYsPputS+zv72wUnxptEPzKeuIdxN57s2GF1ZCGE&#10;0zTx9POmRfohxcCTVEr/fQ+kpeg+WDYjjl3aLFdXOR8oHd4ullHP7jICVjFMKYMU0/YuTKO6d2Sa&#10;lqtM1lu8ZfNqk2RFlydGJ848KUntaarjKF6eU9avv7f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glzDZAAAACgEAAA8AAAAAAAAAAQAgAAAAIgAAAGRycy9kb3ducmV2LnhtbFBLAQIUABQAAAAI&#10;AIdO4kDkeMNd7AEAAMMDAAAOAAAAAAAAAAEAIAAAACgBAABkcnMvZTJvRG9jLnhtbFBLBQYAAAAA&#10;BgAGAFkBAACGBQAAAAA=&#10;">
              <v:fill on="f" focussize="0,0"/>
              <v:stroke on="f"/>
              <v:imagedata o:title=""/>
              <o:lock v:ext="edit" aspectratio="f"/>
              <v:textbox inset="0mm,1.27mm,2.54mm,1.27mm">
                <w:txbxContent>
                  <w:p>
                    <w:pPr>
                      <w:spacing w:line="300" w:lineRule="exact"/>
                      <w:rPr>
                        <w:rFonts w:ascii="DFKai-SB" w:hAnsi="DFKai-SB" w:eastAsia="DFKai-SB"/>
                        <w:b/>
                        <w:kern w:val="0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hint="eastAsia" w:ascii="DFKai-SB" w:hAnsi="DFKai-SB" w:eastAsia="宋体"/>
                        <w:b/>
                        <w:kern w:val="0"/>
                        <w:sz w:val="28"/>
                        <w:szCs w:val="28"/>
                      </w:rPr>
                      <w:t>台湾贸易中心</w:t>
                    </w:r>
                  </w:p>
                  <w:p>
                    <w:pPr>
                      <w:spacing w:line="300" w:lineRule="exact"/>
                      <w:rPr>
                        <w:rFonts w:ascii="DFKai-SB" w:hAnsi="DFKai-SB" w:eastAsia="DFKai-SB"/>
                        <w:b/>
                        <w:kern w:val="0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hint="eastAsia" w:ascii="DFKai-SB" w:hAnsi="DFKai-SB" w:eastAsia="宋体"/>
                        <w:b/>
                        <w:kern w:val="0"/>
                        <w:sz w:val="28"/>
                        <w:szCs w:val="28"/>
                      </w:rPr>
                      <w:t>成都代表处</w:t>
                    </w:r>
                  </w:p>
                  <w:p>
                    <w:pPr>
                      <w:spacing w:before="120" w:line="300" w:lineRule="exact"/>
                      <w:rPr>
                        <w:rFonts w:ascii="DFKai-SB" w:hAnsi="DFKai-SB" w:eastAsia="DFKai-SB"/>
                        <w:b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DFKai-SB" w:hAnsi="DFKai-SB" w:eastAsia="宋体"/>
                        <w:b/>
                        <w:kern w:val="0"/>
                        <w:sz w:val="28"/>
                        <w:szCs w:val="28"/>
                      </w:rPr>
                      <w:t>Taiwan Trade Center, Chengdu</w:t>
                    </w:r>
                  </w:p>
                </w:txbxContent>
              </v:textbox>
            </v:shape>
          </w:pict>
        </mc:Fallback>
      </mc:AlternateContent>
    </w:r>
    <w:r>
      <w:rPr>
        <w:lang w:bidi="bo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-373380</wp:posOffset>
              </wp:positionV>
              <wp:extent cx="2122805" cy="1252220"/>
              <wp:effectExtent l="254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spacing w:val="-12"/>
                              <w:kern w:val="0"/>
                              <w:sz w:val="22"/>
                              <w:lang w:eastAsia="zh-TW"/>
                            </w:rPr>
                          </w:pPr>
                          <w:r>
                            <w:rPr>
                              <w:rFonts w:hint="eastAsia"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成都巿红星路三段</w:t>
                          </w:r>
                          <w:r>
                            <w:rPr>
                              <w:rFonts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号国际金融中心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spacing w:val="-12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号办公楼</w:t>
                          </w:r>
                          <w:r>
                            <w:rPr>
                              <w:rFonts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2805</w:t>
                          </w:r>
                          <w:r>
                            <w:rPr>
                              <w:rFonts w:hint="eastAsia"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室，邮编：</w:t>
                          </w:r>
                          <w:r>
                            <w:rPr>
                              <w:rFonts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610021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Kai-SB" w:hAnsi="DFKai-SB" w:eastAsia="宋体"/>
                              <w:spacing w:val="-12"/>
                              <w:kern w:val="0"/>
                              <w:sz w:val="22"/>
                            </w:rPr>
                            <w:t>Room 2805, Office Tower 1, Chengdu IFS, No.1, Section 3 Hongxing Road, Chengdu, Sichuan, 610021, China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59.2pt;margin-top:-29.4pt;height:98.6pt;width:167.15pt;z-index:251660288;mso-width-relative:page;mso-height-relative:page;" filled="f" stroked="f" coordsize="21600,21600" o:gfxdata="UEsDBAoAAAAAAIdO4kAAAAAAAAAAAAAAAAAEAAAAZHJzL1BLAwQUAAAACACHTuJAzNEZv9oAAAAL&#10;AQAADwAAAGRycy9kb3ducmV2LnhtbE2Py07DMBBF90j8gzVI7Fo7LQ1pGqdCCFZIqGlYsHRiN7Ea&#10;j0PsPvh7hhUsR/fozrnF9uoGdjZTsB4lJHMBzGDrtcVOwkf9OsuAhahQq8GjkfBtAmzL25tC5dpf&#10;sDLnfewYlWDIlYQ+xjHnPLS9cSrM/WiQsoOfnIp0Th3Xk7pQuRv4QoiUO2WRPvRqNM+9aY/7k5Pw&#10;9InVi/16b3bVobJ1vRb4lh6lvL9LxAZYNNf4B8OvPqlDSU6NP6EObJCwTLIHQiXMVhltICJdLR6B&#10;NYQuKeJlwf9vKH8AUEsDBBQAAAAIAIdO4kC+VLGE4gEAALcDAAAOAAAAZHJzL2Uyb0RvYy54bWyt&#10;U9tu2zAMfR+wfxD0vjj20KEw4hRdiw4DugvQ9gMYWbaF2aJGKbGzrx8lx1m3vhV7EWiKPDo8PN5c&#10;TUMvDpq8QVvJfLWWQluFtbFtJZ8e795dSuED2Bp6tLqSR+3l1fbtm83oSl1gh32tSTCI9eXoKtmF&#10;4Mos86rTA/gVOm35skEaIPAntVlNMDL60GfFev0hG5FqR6i095y9nS/lNuE3jVbhW9N4HURfSeYW&#10;0knp3MUz226gbAlcZ9SJBryCxQDG8qNnqFsIIPZkXkANRhF6bMJK4ZBh0xil0ww8Tb7+Z5qHDpxO&#10;s7A43p1l8v8PVn09fCdh6kpeSGFh4BU96imIjziJ91Gd0fmSix4cl4WJ07zlNKl396h+eGHxpgPb&#10;6msiHDsNNbPLY2f2rHXG8RFkN37Bmp+BfcAENDU0ROlYDMHovKXjeTORiuJkkRfF5ZopKr7Li4ui&#10;KNLuMiiXdkc+fNI4iBhUknj1CR4O9z5EOlAuJfE1i3em79P6e/tXggtjJtGPjGfuYdpNJzl2WB95&#10;EMLZTex+DjqkX1KM7KRK+p97IC1F/9myGNF2S0BLsFsCsIpbKxmkmMObMNtz78i0HSPPclu8ZsEa&#10;k0aJys4sTjzZHWnCk5Oj/Z5/p6o//9v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zRGb/aAAAA&#10;CwEAAA8AAAAAAAAAAQAgAAAAIgAAAGRycy9kb3ducmV2LnhtbFBLAQIUABQAAAAIAIdO4kC+VLGE&#10;4gEAALcDAAAOAAAAAAAAAAEAIAAAACk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0" w:lineRule="atLeast"/>
                      <w:rPr>
                        <w:rFonts w:ascii="DFKai-SB" w:hAnsi="DFKai-SB" w:eastAsia="DFKai-SB"/>
                        <w:spacing w:val="-12"/>
                        <w:kern w:val="0"/>
                        <w:sz w:val="22"/>
                        <w:lang w:eastAsia="zh-TW"/>
                      </w:rPr>
                    </w:pPr>
                    <w:r>
                      <w:rPr>
                        <w:rFonts w:hint="eastAsia" w:ascii="DFKai-SB" w:hAnsi="DFKai-SB" w:eastAsia="宋体"/>
                        <w:spacing w:val="-12"/>
                        <w:kern w:val="0"/>
                        <w:sz w:val="22"/>
                      </w:rPr>
                      <w:t>成都巿红星路三段</w:t>
                    </w:r>
                    <w:r>
                      <w:rPr>
                        <w:rFonts w:ascii="DFKai-SB" w:hAnsi="DFKai-SB" w:eastAsia="宋体"/>
                        <w:spacing w:val="-12"/>
                        <w:kern w:val="0"/>
                        <w:sz w:val="22"/>
                      </w:rPr>
                      <w:t>1</w:t>
                    </w:r>
                    <w:r>
                      <w:rPr>
                        <w:rFonts w:hint="eastAsia" w:ascii="DFKai-SB" w:hAnsi="DFKai-SB" w:eastAsia="宋体"/>
                        <w:spacing w:val="-12"/>
                        <w:kern w:val="0"/>
                        <w:sz w:val="22"/>
                      </w:rPr>
                      <w:t>号国际金融中心</w:t>
                    </w:r>
                  </w:p>
                  <w:p>
                    <w:pPr>
                      <w:spacing w:line="0" w:lineRule="atLeast"/>
                      <w:rPr>
                        <w:rFonts w:ascii="DFKai-SB" w:hAnsi="DFKai-SB" w:eastAsia="DFKai-SB"/>
                        <w:spacing w:val="-12"/>
                        <w:kern w:val="0"/>
                        <w:sz w:val="22"/>
                      </w:rPr>
                    </w:pPr>
                    <w:r>
                      <w:rPr>
                        <w:rFonts w:ascii="DFKai-SB" w:hAnsi="DFKai-SB" w:eastAsia="宋体"/>
                        <w:spacing w:val="-12"/>
                        <w:kern w:val="0"/>
                        <w:sz w:val="22"/>
                      </w:rPr>
                      <w:t>1</w:t>
                    </w:r>
                    <w:r>
                      <w:rPr>
                        <w:rFonts w:hint="eastAsia" w:ascii="DFKai-SB" w:hAnsi="DFKai-SB" w:eastAsia="宋体"/>
                        <w:spacing w:val="-12"/>
                        <w:kern w:val="0"/>
                        <w:sz w:val="22"/>
                      </w:rPr>
                      <w:t>号办公楼</w:t>
                    </w:r>
                    <w:r>
                      <w:rPr>
                        <w:rFonts w:ascii="DFKai-SB" w:hAnsi="DFKai-SB" w:eastAsia="宋体"/>
                        <w:spacing w:val="-12"/>
                        <w:kern w:val="0"/>
                        <w:sz w:val="22"/>
                      </w:rPr>
                      <w:t>2805</w:t>
                    </w:r>
                    <w:r>
                      <w:rPr>
                        <w:rFonts w:hint="eastAsia" w:ascii="DFKai-SB" w:hAnsi="DFKai-SB" w:eastAsia="宋体"/>
                        <w:spacing w:val="-12"/>
                        <w:kern w:val="0"/>
                        <w:sz w:val="22"/>
                      </w:rPr>
                      <w:t>室，邮编：</w:t>
                    </w:r>
                    <w:r>
                      <w:rPr>
                        <w:rFonts w:ascii="DFKai-SB" w:hAnsi="DFKai-SB" w:eastAsia="宋体"/>
                        <w:spacing w:val="-12"/>
                        <w:kern w:val="0"/>
                        <w:sz w:val="22"/>
                      </w:rPr>
                      <w:t>610021</w:t>
                    </w:r>
                  </w:p>
                  <w:p>
                    <w:pPr>
                      <w:spacing w:line="0" w:lineRule="atLeast"/>
                      <w:rPr>
                        <w:rFonts w:ascii="DFKai-SB" w:hAnsi="DFKai-SB" w:eastAsia="DFKai-SB"/>
                        <w:kern w:val="0"/>
                        <w:sz w:val="22"/>
                      </w:rPr>
                    </w:pPr>
                    <w:r>
                      <w:rPr>
                        <w:rFonts w:ascii="DFKai-SB" w:hAnsi="DFKai-SB" w:eastAsia="宋体"/>
                        <w:spacing w:val="-12"/>
                        <w:kern w:val="0"/>
                        <w:sz w:val="22"/>
                      </w:rPr>
                      <w:t>Room 2805, Office Tower 1, Chengdu IFS, No.1, Section 3 Hongxing Road, Chengdu, Sichuan, 610021, China</w:t>
                    </w:r>
                  </w:p>
                </w:txbxContent>
              </v:textbox>
            </v:shape>
          </w:pict>
        </mc:Fallback>
      </mc:AlternateContent>
    </w:r>
    <w:r>
      <w:rPr>
        <w:lang w:bidi="bo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4224020</wp:posOffset>
              </wp:positionH>
              <wp:positionV relativeFrom="paragraph">
                <wp:posOffset>-429260</wp:posOffset>
              </wp:positionV>
              <wp:extent cx="2091055" cy="962025"/>
              <wp:effectExtent l="4445" t="0" r="0" b="317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Kai-SB" w:hAnsi="DFKai-SB" w:eastAsia="宋体"/>
                              <w:kern w:val="0"/>
                              <w:sz w:val="22"/>
                            </w:rPr>
                            <w:t>Tel: 028-86241252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Kai-SB" w:hAnsi="DFKai-SB" w:eastAsia="宋体"/>
                              <w:kern w:val="0"/>
                              <w:sz w:val="22"/>
                            </w:rPr>
                            <w:t>Fax: 028-86241577</w:t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Kai-SB" w:hAnsi="DFKai-SB" w:eastAsia="宋体"/>
                              <w:kern w:val="0"/>
                              <w:sz w:val="22"/>
                            </w:rPr>
                            <w:t>E-mail: c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"mailto:hengdu@taitra.org.tw"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ascii="DFKai-SB" w:hAnsi="DFKai-SB" w:eastAsia="宋体"/>
                              <w:kern w:val="0"/>
                              <w:sz w:val="22"/>
                            </w:rPr>
                            <w:t>hengdu@taitra.org.tw</w:t>
                          </w:r>
                          <w:r>
                            <w:rPr>
                              <w:rStyle w:val="7"/>
                              <w:rFonts w:ascii="DFKai-SB" w:hAnsi="DFKai-SB" w:eastAsia="宋体"/>
                              <w:kern w:val="0"/>
                              <w:sz w:val="22"/>
                            </w:rPr>
                            <w:fldChar w:fldCharType="end"/>
                          </w:r>
                        </w:p>
                        <w:p>
                          <w:pPr>
                            <w:spacing w:line="0" w:lineRule="atLeast"/>
                            <w:rPr>
                              <w:rFonts w:ascii="DFKai-SB" w:hAnsi="DFKai-SB" w:eastAsia="DFKai-SB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Kai-SB" w:hAnsi="DFKai-SB" w:eastAsia="宋体"/>
                              <w:kern w:val="0"/>
                              <w:sz w:val="22"/>
                            </w:rPr>
                            <w:t>http://www.taiwantrade.com.tw</w:t>
                          </w:r>
                        </w:p>
                      </w:txbxContent>
                    </wps:txbx>
                    <wps:bodyPr rot="0" vert="horz" wrap="square" lIns="72000" tIns="45720" rIns="7200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32.6pt;margin-top:-33.8pt;height:75.75pt;width:164.65pt;z-index:251661312;mso-width-relative:page;mso-height-relative:page;" filled="f" stroked="f" coordsize="21600,21600" o:gfxdata="UEsDBAoAAAAAAIdO4kAAAAAAAAAAAAAAAAAEAAAAZHJzL1BLAwQUAAAACACHTuJA2sTNRN0AAAAK&#10;AQAADwAAAGRycy9kb3ducmV2LnhtbE2Py07DMBBF90j8gzVI7FqngYYkZFJVCBYItVIKUmE3jU0c&#10;EduR7b74eswKlqN7dO+ZanHSAztI53trEGbTBJg0rRW96RDeXp8mOTAfyAgarJEIZ+lhUV9eVFQK&#10;ezSNPGxCx2KJ8SUhqBDGknPfKqnJT+0oTcw+rdMU4uk6LhwdY7keeJokGdfUm7igaJQPSrZfm71G&#10;2D6en9f5e7qlpvh2Lx9rtVouG8Trq1lyDyzIU/iD4Vc/qkMdnXZ2b4RnA0KWzdOIIkyyuwxYJIri&#10;dg5sh5DfFMDriv9/of4BUEsDBBQAAAAIAIdO4kAE0jJo6wEAAMYDAAAOAAAAZHJzL2Uyb0RvYy54&#10;bWytU9tu2zAMfR+wfxD0vtjxmm414hRdiw4DugvQ7gNoWY6F2aJGKbGzrx8lp1m2vQ17MSSSOjw8&#10;PF5fT0Mv9pq8QVvJ5SKXQluFjbHbSn59un/1VgofwDbQo9WVPGgvrzcvX6xHV+oCO+wbTYJBrC9H&#10;V8kuBFdmmVedHsAv0GnLyRZpgMBX2mYNwcjoQ58VeX6ZjUiNI1Tae47ezUm5Sfhtq1X43LZeB9FX&#10;krmF9KX0reM326yh3BK4zqgjDfgHFgMYy01PUHcQQOzI/AU1GEXosQ0LhUOGbWuUTjPwNMv8j2ke&#10;O3A6zcLieHeSyf8/WPVp/4WEaSr5WgoLA6/oSU9BvMNJXER1RudLLnp0XBYmDvOW06TePaD65oXF&#10;2w7sVt8Q4dhpaJjdMr7Mzp7OOD6C1ONHbLgN7AImoKmlIUrHYghG5y0dTpuJVBQHi/xqma9WUijO&#10;XV0WebFKLaB8fu3Ih/caBxEPlSTefEKH/YMPkQ2UzyWxmcV70/dp+739LcCFMZLYR8Iz9TDV01GN&#10;GpsDz0E4m4nNz4cO6YcUIxupkv77DkhL0X+wrMUbtml0XrpcrPgqBZ1n6vMMWMVQlQxSzMfbMLt1&#10;58hsO+40q2/xhvVrTRotCj2zOvJms6SJj8aObjy/p6pfv9/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EzUTdAAAACgEAAA8AAAAAAAAAAQAgAAAAIgAAAGRycy9kb3ducmV2LnhtbFBLAQIUABQA&#10;AAAIAIdO4kAE0jJo6wEAAMYDAAAOAAAAAAAAAAEAIAAAACwBAABkcnMvZTJvRG9jLnhtbFBLBQYA&#10;AAAABgAGAFkBAACJBQAAAAA=&#10;">
              <v:fill on="f" focussize="0,0"/>
              <v:stroke on="f"/>
              <v:imagedata o:title=""/>
              <o:lock v:ext="edit" aspectratio="f"/>
              <v:textbox inset="2mm,1.27mm,2mm,1.27mm">
                <w:txbxContent>
                  <w:p>
                    <w:pPr>
                      <w:spacing w:line="0" w:lineRule="atLeast"/>
                      <w:rPr>
                        <w:rFonts w:ascii="DFKai-SB" w:hAnsi="DFKai-SB" w:eastAsia="DFKai-SB"/>
                        <w:kern w:val="0"/>
                        <w:sz w:val="22"/>
                      </w:rPr>
                    </w:pPr>
                    <w:r>
                      <w:rPr>
                        <w:rFonts w:ascii="DFKai-SB" w:hAnsi="DFKai-SB" w:eastAsia="宋体"/>
                        <w:kern w:val="0"/>
                        <w:sz w:val="22"/>
                      </w:rPr>
                      <w:t>Tel: 028-86241252</w:t>
                    </w:r>
                  </w:p>
                  <w:p>
                    <w:pPr>
                      <w:spacing w:line="0" w:lineRule="atLeast"/>
                      <w:rPr>
                        <w:rFonts w:ascii="DFKai-SB" w:hAnsi="DFKai-SB" w:eastAsia="DFKai-SB"/>
                        <w:kern w:val="0"/>
                        <w:sz w:val="22"/>
                      </w:rPr>
                    </w:pPr>
                    <w:r>
                      <w:rPr>
                        <w:rFonts w:ascii="DFKai-SB" w:hAnsi="DFKai-SB" w:eastAsia="宋体"/>
                        <w:kern w:val="0"/>
                        <w:sz w:val="22"/>
                      </w:rPr>
                      <w:t>Fax: 028-86241577</w:t>
                    </w:r>
                  </w:p>
                  <w:p>
                    <w:pPr>
                      <w:spacing w:line="0" w:lineRule="atLeast"/>
                      <w:rPr>
                        <w:rFonts w:ascii="DFKai-SB" w:hAnsi="DFKai-SB" w:eastAsia="DFKai-SB"/>
                        <w:kern w:val="0"/>
                        <w:sz w:val="22"/>
                      </w:rPr>
                    </w:pPr>
                    <w:r>
                      <w:rPr>
                        <w:rFonts w:ascii="DFKai-SB" w:hAnsi="DFKai-SB" w:eastAsia="宋体"/>
                        <w:kern w:val="0"/>
                        <w:sz w:val="22"/>
                      </w:rPr>
                      <w:t>E-mail: c</w:t>
                    </w:r>
                    <w:r>
                      <w:fldChar w:fldCharType="begin"/>
                    </w:r>
                    <w:r>
                      <w:instrText xml:space="preserve"> HYPERLINK "mailto:hengdu@taitra.org.tw"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ascii="DFKai-SB" w:hAnsi="DFKai-SB" w:eastAsia="宋体"/>
                        <w:kern w:val="0"/>
                        <w:sz w:val="22"/>
                      </w:rPr>
                      <w:t>hengdu@taitra.org.tw</w:t>
                    </w:r>
                    <w:r>
                      <w:rPr>
                        <w:rStyle w:val="7"/>
                        <w:rFonts w:ascii="DFKai-SB" w:hAnsi="DFKai-SB" w:eastAsia="宋体"/>
                        <w:kern w:val="0"/>
                        <w:sz w:val="22"/>
                      </w:rPr>
                      <w:fldChar w:fldCharType="end"/>
                    </w:r>
                  </w:p>
                  <w:p>
                    <w:pPr>
                      <w:spacing w:line="0" w:lineRule="atLeast"/>
                      <w:rPr>
                        <w:rFonts w:ascii="DFKai-SB" w:hAnsi="DFKai-SB" w:eastAsia="DFKai-SB"/>
                        <w:kern w:val="0"/>
                        <w:sz w:val="22"/>
                      </w:rPr>
                    </w:pPr>
                    <w:r>
                      <w:rPr>
                        <w:rFonts w:ascii="DFKai-SB" w:hAnsi="DFKai-SB" w:eastAsia="宋体"/>
                        <w:kern w:val="0"/>
                        <w:sz w:val="22"/>
                      </w:rPr>
                      <w:t>http://www.taiwantrade.com.tw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36"/>
    <w:rsid w:val="000A723E"/>
    <w:rsid w:val="00354F30"/>
    <w:rsid w:val="0043285F"/>
    <w:rsid w:val="004D1F24"/>
    <w:rsid w:val="004E6E8F"/>
    <w:rsid w:val="00562E14"/>
    <w:rsid w:val="005E0281"/>
    <w:rsid w:val="006164AE"/>
    <w:rsid w:val="00625A16"/>
    <w:rsid w:val="006675E3"/>
    <w:rsid w:val="006D3C03"/>
    <w:rsid w:val="006F5F36"/>
    <w:rsid w:val="0070658F"/>
    <w:rsid w:val="00790291"/>
    <w:rsid w:val="007C22A0"/>
    <w:rsid w:val="008C2400"/>
    <w:rsid w:val="00972EA2"/>
    <w:rsid w:val="00A344E7"/>
    <w:rsid w:val="00A87349"/>
    <w:rsid w:val="00AA4755"/>
    <w:rsid w:val="00AC68B5"/>
    <w:rsid w:val="00DF6D54"/>
    <w:rsid w:val="00F5097A"/>
    <w:rsid w:val="00FC18AD"/>
    <w:rsid w:val="0E8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bo-CN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0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257</Words>
  <Characters>1470</Characters>
  <Lines>12</Lines>
  <Paragraphs>3</Paragraphs>
  <TotalTime>0</TotalTime>
  <ScaleCrop>false</ScaleCrop>
  <LinksUpToDate>false</LinksUpToDate>
  <CharactersWithSpaces>1724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2017-06-12T09:14:00Z</dcterms:created>
  <dc:creator>john</dc:creator>
  <cp:lastModifiedBy>Administrator</cp:lastModifiedBy>
  <dcterms:modified xsi:type="dcterms:W3CDTF">2017-07-03T03:34:55Z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